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2C7E" w14:textId="77777777" w:rsidR="001B68A3" w:rsidRPr="001B68A3" w:rsidRDefault="001B68A3" w:rsidP="001B68A3">
      <w:pPr>
        <w:keepNext/>
        <w:keepLines/>
        <w:spacing w:before="200" w:after="0" w:line="240" w:lineRule="auto"/>
        <w:outlineLvl w:val="5"/>
        <w:rPr>
          <w:rFonts w:ascii="Arial" w:eastAsiaTheme="majorEastAsia" w:hAnsi="Arial" w:cs="Arial"/>
          <w:b/>
          <w:iCs/>
          <w:color w:val="243F60" w:themeColor="accent1" w:themeShade="7F"/>
          <w:sz w:val="24"/>
          <w:szCs w:val="20"/>
          <w:lang w:eastAsia="en-GB"/>
        </w:rPr>
      </w:pPr>
      <w:r w:rsidRPr="001B68A3">
        <w:rPr>
          <w:rFonts w:ascii="Arial" w:eastAsiaTheme="majorEastAsia" w:hAnsi="Arial" w:cs="Arial"/>
          <w:b/>
          <w:iCs/>
          <w:color w:val="243F60" w:themeColor="accent1" w:themeShade="7F"/>
          <w:sz w:val="24"/>
          <w:szCs w:val="20"/>
          <w:lang w:eastAsia="en-GB"/>
        </w:rPr>
        <w:t>Sharing Information from Adverse Events</w:t>
      </w:r>
      <w:r w:rsidRPr="001B68A3">
        <w:rPr>
          <w:rFonts w:ascii="Arial" w:eastAsiaTheme="majorEastAsia" w:hAnsi="Arial" w:cs="Arial"/>
          <w:b/>
          <w:iCs/>
          <w:color w:val="243F60" w:themeColor="accent1" w:themeShade="7F"/>
          <w:sz w:val="24"/>
          <w:szCs w:val="20"/>
          <w:lang w:eastAsia="en-GB"/>
        </w:rPr>
        <w:tab/>
      </w:r>
      <w:r w:rsidRPr="001B68A3">
        <w:rPr>
          <w:rFonts w:ascii="Arial" w:eastAsiaTheme="majorEastAsia" w:hAnsi="Arial" w:cs="Arial"/>
          <w:b/>
          <w:iCs/>
          <w:color w:val="243F60" w:themeColor="accent1" w:themeShade="7F"/>
          <w:sz w:val="24"/>
          <w:szCs w:val="20"/>
          <w:lang w:eastAsia="en-GB"/>
        </w:rPr>
        <w:tab/>
      </w:r>
      <w:r w:rsidRPr="001B68A3">
        <w:rPr>
          <w:rFonts w:ascii="Arial" w:eastAsiaTheme="majorEastAsia" w:hAnsi="Arial" w:cs="Arial"/>
          <w:b/>
          <w:iCs/>
          <w:color w:val="243F60" w:themeColor="accent1" w:themeShade="7F"/>
          <w:sz w:val="24"/>
          <w:szCs w:val="20"/>
          <w:lang w:eastAsia="en-GB"/>
        </w:rPr>
        <w:tab/>
      </w:r>
      <w:r w:rsidRPr="001B68A3">
        <w:rPr>
          <w:rFonts w:ascii="Arial" w:eastAsiaTheme="majorEastAsia" w:hAnsi="Arial" w:cs="Arial"/>
          <w:b/>
          <w:iCs/>
          <w:color w:val="243F60" w:themeColor="accent1" w:themeShade="7F"/>
          <w:sz w:val="24"/>
          <w:szCs w:val="20"/>
          <w:lang w:eastAsia="en-GB"/>
        </w:rPr>
        <w:tab/>
        <w:t>Appendix 5</w:t>
      </w:r>
    </w:p>
    <w:p w14:paraId="339A8D34" w14:textId="77777777" w:rsidR="001B68A3" w:rsidRPr="001B68A3" w:rsidRDefault="001B68A3" w:rsidP="001B68A3">
      <w:pPr>
        <w:spacing w:after="0" w:line="240" w:lineRule="auto"/>
        <w:rPr>
          <w:rFonts w:ascii="Arial" w:eastAsia="Times New Roman" w:hAnsi="Arial" w:cs="Arial"/>
          <w:b/>
          <w:sz w:val="24"/>
          <w:lang w:eastAsia="en-GB"/>
        </w:rPr>
      </w:pPr>
    </w:p>
    <w:tbl>
      <w:tblPr>
        <w:tblStyle w:val="TableGrid"/>
        <w:tblW w:w="5000" w:type="pct"/>
        <w:tblLook w:val="04A0" w:firstRow="1" w:lastRow="0" w:firstColumn="1" w:lastColumn="0" w:noHBand="0" w:noVBand="1"/>
      </w:tblPr>
      <w:tblGrid>
        <w:gridCol w:w="2958"/>
        <w:gridCol w:w="4062"/>
        <w:gridCol w:w="2222"/>
      </w:tblGrid>
      <w:tr w:rsidR="001B68A3" w:rsidRPr="001B68A3" w14:paraId="53528207" w14:textId="77777777" w:rsidTr="00D4342B">
        <w:tc>
          <w:tcPr>
            <w:tcW w:w="9854" w:type="dxa"/>
            <w:gridSpan w:val="3"/>
          </w:tcPr>
          <w:p w14:paraId="4B27DCE8" w14:textId="77777777" w:rsidR="001B68A3" w:rsidRPr="001B68A3" w:rsidRDefault="001B68A3" w:rsidP="001B68A3">
            <w:pPr>
              <w:rPr>
                <w:rFonts w:ascii="Arial" w:hAnsi="Arial" w:cs="Arial"/>
                <w:sz w:val="24"/>
              </w:rPr>
            </w:pPr>
            <w:r w:rsidRPr="001B68A3">
              <w:rPr>
                <w:rFonts w:ascii="Arial" w:hAnsi="Arial" w:cs="Arial"/>
                <w:b/>
                <w:color w:val="FF0000"/>
                <w:sz w:val="24"/>
              </w:rPr>
              <w:t xml:space="preserve">Any requests for information in relation to Adverse Event Management should be directed to the relevant Service Area who can seek advice and guidance from the Adverse Events and Risk Management Team </w:t>
            </w:r>
          </w:p>
        </w:tc>
      </w:tr>
      <w:tr w:rsidR="001B68A3" w:rsidRPr="001B68A3" w14:paraId="4BCEAF28" w14:textId="77777777" w:rsidTr="00D4342B">
        <w:tc>
          <w:tcPr>
            <w:tcW w:w="3050" w:type="dxa"/>
          </w:tcPr>
          <w:p w14:paraId="1F5326E7" w14:textId="77777777" w:rsidR="001B68A3" w:rsidRPr="001B68A3" w:rsidRDefault="001B68A3" w:rsidP="001B68A3">
            <w:pPr>
              <w:rPr>
                <w:rFonts w:ascii="Arial" w:hAnsi="Arial" w:cs="Arial"/>
                <w:sz w:val="24"/>
                <w:szCs w:val="24"/>
              </w:rPr>
            </w:pPr>
            <w:r w:rsidRPr="001B68A3">
              <w:rPr>
                <w:rFonts w:ascii="Arial" w:hAnsi="Arial" w:cs="Arial"/>
                <w:sz w:val="24"/>
                <w:szCs w:val="24"/>
              </w:rPr>
              <w:t>Requesting persons/organisations</w:t>
            </w:r>
          </w:p>
        </w:tc>
        <w:tc>
          <w:tcPr>
            <w:tcW w:w="4468" w:type="dxa"/>
          </w:tcPr>
          <w:p w14:paraId="54083605" w14:textId="77777777" w:rsidR="001B68A3" w:rsidRPr="001B68A3" w:rsidRDefault="001B68A3" w:rsidP="001B68A3">
            <w:pPr>
              <w:rPr>
                <w:rFonts w:ascii="Arial" w:hAnsi="Arial" w:cs="Arial"/>
                <w:sz w:val="24"/>
                <w:szCs w:val="24"/>
              </w:rPr>
            </w:pPr>
            <w:r w:rsidRPr="001B68A3">
              <w:rPr>
                <w:rFonts w:ascii="Arial" w:hAnsi="Arial" w:cs="Arial"/>
                <w:sz w:val="24"/>
                <w:szCs w:val="24"/>
              </w:rPr>
              <w:t>Process</w:t>
            </w:r>
          </w:p>
        </w:tc>
        <w:tc>
          <w:tcPr>
            <w:tcW w:w="2336" w:type="dxa"/>
          </w:tcPr>
          <w:p w14:paraId="5A0D504E" w14:textId="77777777" w:rsidR="001B68A3" w:rsidRPr="001B68A3" w:rsidRDefault="001B68A3" w:rsidP="001B68A3">
            <w:pPr>
              <w:rPr>
                <w:rFonts w:ascii="Arial" w:hAnsi="Arial" w:cs="Arial"/>
                <w:b/>
                <w:sz w:val="24"/>
              </w:rPr>
            </w:pPr>
            <w:r w:rsidRPr="001B68A3">
              <w:rPr>
                <w:rFonts w:ascii="Arial" w:hAnsi="Arial" w:cs="Arial"/>
                <w:b/>
                <w:sz w:val="24"/>
              </w:rPr>
              <w:t>Further information</w:t>
            </w:r>
          </w:p>
        </w:tc>
      </w:tr>
      <w:tr w:rsidR="001B68A3" w:rsidRPr="001B68A3" w14:paraId="14E61388" w14:textId="77777777" w:rsidTr="00D4342B">
        <w:tc>
          <w:tcPr>
            <w:tcW w:w="3050" w:type="dxa"/>
          </w:tcPr>
          <w:p w14:paraId="53225DCF" w14:textId="77777777" w:rsidR="001B68A3" w:rsidRPr="001B68A3" w:rsidRDefault="001B68A3" w:rsidP="001B68A3">
            <w:pPr>
              <w:tabs>
                <w:tab w:val="left" w:pos="1080"/>
              </w:tabs>
              <w:rPr>
                <w:rFonts w:ascii="Arial" w:hAnsi="Arial" w:cs="Arial"/>
                <w:sz w:val="24"/>
                <w:szCs w:val="24"/>
              </w:rPr>
            </w:pPr>
            <w:r w:rsidRPr="001B68A3">
              <w:rPr>
                <w:rFonts w:ascii="Arial" w:hAnsi="Arial" w:cs="Arial"/>
                <w:sz w:val="24"/>
                <w:szCs w:val="24"/>
              </w:rPr>
              <w:t>Individuals who are the subject of Adverse Event</w:t>
            </w:r>
          </w:p>
          <w:p w14:paraId="6875A497" w14:textId="77777777" w:rsidR="001B68A3" w:rsidRPr="001B68A3" w:rsidRDefault="001B68A3" w:rsidP="001B68A3">
            <w:pPr>
              <w:rPr>
                <w:rFonts w:ascii="Arial" w:hAnsi="Arial" w:cs="Arial"/>
                <w:sz w:val="24"/>
                <w:szCs w:val="24"/>
              </w:rPr>
            </w:pPr>
          </w:p>
        </w:tc>
        <w:tc>
          <w:tcPr>
            <w:tcW w:w="4468" w:type="dxa"/>
          </w:tcPr>
          <w:p w14:paraId="04381F42" w14:textId="77777777" w:rsidR="001B68A3" w:rsidRPr="001B68A3" w:rsidRDefault="001B68A3" w:rsidP="001B68A3">
            <w:pPr>
              <w:tabs>
                <w:tab w:val="left" w:pos="1080"/>
              </w:tabs>
              <w:rPr>
                <w:rFonts w:ascii="Arial" w:hAnsi="Arial" w:cs="Arial"/>
                <w:sz w:val="24"/>
                <w:szCs w:val="24"/>
              </w:rPr>
            </w:pPr>
            <w:r w:rsidRPr="001B68A3">
              <w:rPr>
                <w:rFonts w:ascii="Arial" w:hAnsi="Arial" w:cs="Arial"/>
                <w:sz w:val="24"/>
                <w:szCs w:val="24"/>
              </w:rPr>
              <w:t>A learning summary should be offered as routine practice to patients/individuals and or families involved in a LAER/SAER review.</w:t>
            </w:r>
            <w:r w:rsidRPr="001B68A3" w:rsidDel="00C4737D">
              <w:rPr>
                <w:rFonts w:ascii="Arial" w:hAnsi="Arial" w:cs="Arial"/>
                <w:sz w:val="24"/>
                <w:szCs w:val="24"/>
              </w:rPr>
              <w:t xml:space="preserve"> </w:t>
            </w:r>
          </w:p>
          <w:p w14:paraId="7813D7C0" w14:textId="77777777" w:rsidR="001B68A3" w:rsidRPr="001B68A3" w:rsidRDefault="001B68A3" w:rsidP="001B68A3">
            <w:pPr>
              <w:tabs>
                <w:tab w:val="left" w:pos="1080"/>
              </w:tabs>
              <w:rPr>
                <w:rFonts w:ascii="Arial" w:hAnsi="Arial" w:cs="Arial"/>
                <w:sz w:val="24"/>
                <w:szCs w:val="24"/>
              </w:rPr>
            </w:pPr>
          </w:p>
          <w:p w14:paraId="2C48EA78" w14:textId="77777777" w:rsidR="001B68A3" w:rsidRPr="001B68A3" w:rsidRDefault="001B68A3" w:rsidP="001B68A3">
            <w:pPr>
              <w:tabs>
                <w:tab w:val="left" w:pos="1080"/>
              </w:tabs>
              <w:rPr>
                <w:rFonts w:ascii="Arial" w:hAnsi="Arial" w:cs="Arial"/>
                <w:sz w:val="24"/>
                <w:szCs w:val="24"/>
              </w:rPr>
            </w:pPr>
            <w:r w:rsidRPr="001B68A3">
              <w:rPr>
                <w:rFonts w:ascii="Arial" w:hAnsi="Arial" w:cs="Arial"/>
                <w:sz w:val="24"/>
                <w:szCs w:val="24"/>
              </w:rPr>
              <w:t xml:space="preserve">Full reports should only be offered by exception. All reports must be written in a redacted format to safeguard patient, </w:t>
            </w:r>
            <w:proofErr w:type="gramStart"/>
            <w:r w:rsidRPr="001B68A3">
              <w:rPr>
                <w:rFonts w:ascii="Arial" w:hAnsi="Arial" w:cs="Arial"/>
                <w:sz w:val="24"/>
                <w:szCs w:val="24"/>
              </w:rPr>
              <w:t>family</w:t>
            </w:r>
            <w:proofErr w:type="gramEnd"/>
            <w:r w:rsidRPr="001B68A3">
              <w:rPr>
                <w:rFonts w:ascii="Arial" w:hAnsi="Arial" w:cs="Arial"/>
                <w:sz w:val="24"/>
                <w:szCs w:val="24"/>
              </w:rPr>
              <w:t xml:space="preserve"> and staff confidentiality.    </w:t>
            </w:r>
          </w:p>
          <w:p w14:paraId="0457D20B" w14:textId="77777777" w:rsidR="001B68A3" w:rsidRPr="001B68A3" w:rsidRDefault="001B68A3" w:rsidP="001B68A3">
            <w:pPr>
              <w:rPr>
                <w:rFonts w:ascii="Arial" w:hAnsi="Arial" w:cs="Arial"/>
                <w:sz w:val="24"/>
                <w:szCs w:val="24"/>
              </w:rPr>
            </w:pPr>
            <w:r w:rsidRPr="001B68A3">
              <w:rPr>
                <w:rFonts w:ascii="Arial" w:hAnsi="Arial" w:cs="Arial"/>
                <w:sz w:val="24"/>
                <w:szCs w:val="24"/>
              </w:rPr>
              <w:t xml:space="preserve"> </w:t>
            </w:r>
          </w:p>
          <w:p w14:paraId="3821984F" w14:textId="77777777" w:rsidR="001B68A3" w:rsidRPr="001B68A3" w:rsidRDefault="001B68A3" w:rsidP="001B68A3">
            <w:pPr>
              <w:autoSpaceDE w:val="0"/>
              <w:autoSpaceDN w:val="0"/>
              <w:adjustRightInd w:val="0"/>
              <w:rPr>
                <w:rFonts w:ascii="Arial" w:hAnsi="Arial" w:cs="Arial"/>
                <w:sz w:val="24"/>
                <w:szCs w:val="24"/>
              </w:rPr>
            </w:pPr>
            <w:r w:rsidRPr="001B68A3">
              <w:rPr>
                <w:rFonts w:ascii="Arial" w:hAnsi="Arial" w:cs="Arial"/>
                <w:sz w:val="24"/>
                <w:szCs w:val="24"/>
              </w:rPr>
              <w:t xml:space="preserve">If the individual is deceased, applications are considered under the Access to Health Records Act (1990).  Although the LAER report is not part of the Health Record, it does contain information pertaining to their health, </w:t>
            </w:r>
            <w:proofErr w:type="gramStart"/>
            <w:r w:rsidRPr="001B68A3">
              <w:rPr>
                <w:rFonts w:ascii="Arial" w:hAnsi="Arial" w:cs="Arial"/>
                <w:sz w:val="24"/>
                <w:szCs w:val="24"/>
              </w:rPr>
              <w:t>care</w:t>
            </w:r>
            <w:proofErr w:type="gramEnd"/>
            <w:r w:rsidRPr="001B68A3">
              <w:rPr>
                <w:rFonts w:ascii="Arial" w:hAnsi="Arial" w:cs="Arial"/>
                <w:sz w:val="24"/>
                <w:szCs w:val="24"/>
              </w:rPr>
              <w:t xml:space="preserve"> and treatment.  Under the terms of the Act, individuals can apply to access the deceased’s health records if they are either:</w:t>
            </w:r>
          </w:p>
          <w:p w14:paraId="7BDCDDE5" w14:textId="77777777" w:rsidR="001B68A3" w:rsidRPr="001B68A3" w:rsidRDefault="001B68A3" w:rsidP="001B68A3">
            <w:pPr>
              <w:numPr>
                <w:ilvl w:val="0"/>
                <w:numId w:val="2"/>
              </w:numPr>
              <w:shd w:val="clear" w:color="auto" w:fill="FFFFFF"/>
              <w:ind w:left="480" w:right="480"/>
              <w:rPr>
                <w:rFonts w:ascii="Arial" w:hAnsi="Arial" w:cs="Arial"/>
                <w:sz w:val="24"/>
                <w:szCs w:val="24"/>
              </w:rPr>
            </w:pPr>
            <w:r w:rsidRPr="001B68A3">
              <w:rPr>
                <w:rFonts w:ascii="Arial" w:hAnsi="Arial" w:cs="Arial"/>
                <w:sz w:val="24"/>
                <w:szCs w:val="24"/>
              </w:rPr>
              <w:t xml:space="preserve">a personal representative (the executor or administrator of the deceased person's estate) </w:t>
            </w:r>
          </w:p>
          <w:p w14:paraId="63399A2B" w14:textId="77777777" w:rsidR="001B68A3" w:rsidRPr="001B68A3" w:rsidRDefault="001B68A3" w:rsidP="001B68A3">
            <w:pPr>
              <w:numPr>
                <w:ilvl w:val="0"/>
                <w:numId w:val="2"/>
              </w:numPr>
              <w:shd w:val="clear" w:color="auto" w:fill="FFFFFF"/>
              <w:ind w:left="480" w:right="480"/>
              <w:rPr>
                <w:rFonts w:ascii="Arial" w:hAnsi="Arial" w:cs="Arial"/>
                <w:sz w:val="24"/>
                <w:szCs w:val="24"/>
              </w:rPr>
            </w:pPr>
            <w:r w:rsidRPr="001B68A3">
              <w:rPr>
                <w:rFonts w:ascii="Arial" w:hAnsi="Arial" w:cs="Arial"/>
                <w:sz w:val="24"/>
                <w:szCs w:val="24"/>
              </w:rPr>
              <w:t xml:space="preserve">someone who has a claim resulting from the death (this could be a relative or another person) </w:t>
            </w:r>
          </w:p>
        </w:tc>
        <w:tc>
          <w:tcPr>
            <w:tcW w:w="2336" w:type="dxa"/>
          </w:tcPr>
          <w:p w14:paraId="33DC46C1" w14:textId="77777777" w:rsidR="001B68A3" w:rsidRPr="001B68A3" w:rsidRDefault="001B68A3" w:rsidP="001B68A3">
            <w:pPr>
              <w:rPr>
                <w:sz w:val="24"/>
              </w:rPr>
            </w:pPr>
            <w:r w:rsidRPr="001B68A3">
              <w:rPr>
                <w:rFonts w:ascii="Arial" w:hAnsi="Arial" w:cs="Arial"/>
                <w:sz w:val="24"/>
              </w:rPr>
              <w:t xml:space="preserve">HIS redaction guidance – click </w:t>
            </w:r>
            <w:hyperlink r:id="rId5" w:history="1">
              <w:r w:rsidRPr="001B68A3">
                <w:rPr>
                  <w:rFonts w:ascii="Arial" w:hAnsi="Arial" w:cs="Arial"/>
                  <w:color w:val="0000FF"/>
                  <w:sz w:val="24"/>
                  <w:u w:val="single"/>
                </w:rPr>
                <w:t>here</w:t>
              </w:r>
            </w:hyperlink>
          </w:p>
          <w:p w14:paraId="24931981" w14:textId="77777777" w:rsidR="001B68A3" w:rsidRPr="001B68A3" w:rsidRDefault="001B68A3" w:rsidP="001B68A3">
            <w:pPr>
              <w:rPr>
                <w:sz w:val="24"/>
              </w:rPr>
            </w:pPr>
          </w:p>
          <w:p w14:paraId="3A4636F7" w14:textId="77777777" w:rsidR="001B68A3" w:rsidRPr="001B68A3" w:rsidRDefault="001B68A3" w:rsidP="001B68A3">
            <w:pPr>
              <w:rPr>
                <w:sz w:val="24"/>
              </w:rPr>
            </w:pPr>
          </w:p>
          <w:p w14:paraId="32B7780D" w14:textId="77777777" w:rsidR="001B68A3" w:rsidRPr="001B68A3" w:rsidRDefault="001B68A3" w:rsidP="001B68A3">
            <w:pPr>
              <w:rPr>
                <w:rFonts w:ascii="Arial" w:hAnsi="Arial" w:cs="Arial"/>
                <w:sz w:val="24"/>
              </w:rPr>
            </w:pPr>
            <w:r w:rsidRPr="001B68A3">
              <w:rPr>
                <w:sz w:val="24"/>
              </w:rPr>
              <w:t xml:space="preserve">Redacted reports require approval by the Caldecott guardian prior to being released. </w:t>
            </w:r>
          </w:p>
          <w:p w14:paraId="438547CA" w14:textId="77777777" w:rsidR="001B68A3" w:rsidRPr="001B68A3" w:rsidRDefault="001B68A3" w:rsidP="001B68A3">
            <w:pPr>
              <w:rPr>
                <w:rFonts w:ascii="Arial" w:hAnsi="Arial" w:cs="Arial"/>
                <w:sz w:val="24"/>
              </w:rPr>
            </w:pPr>
          </w:p>
          <w:p w14:paraId="6B1FEBA5" w14:textId="77777777" w:rsidR="001B68A3" w:rsidRPr="001B68A3" w:rsidRDefault="001B68A3" w:rsidP="001B68A3">
            <w:pPr>
              <w:rPr>
                <w:rFonts w:ascii="Arial" w:hAnsi="Arial" w:cs="Arial"/>
                <w:sz w:val="24"/>
              </w:rPr>
            </w:pPr>
          </w:p>
          <w:p w14:paraId="429FFBEC" w14:textId="77777777" w:rsidR="001B68A3" w:rsidRPr="001B68A3" w:rsidRDefault="001B68A3" w:rsidP="001B68A3">
            <w:pPr>
              <w:rPr>
                <w:rFonts w:ascii="Arial" w:hAnsi="Arial" w:cs="Arial"/>
                <w:sz w:val="24"/>
              </w:rPr>
            </w:pPr>
          </w:p>
          <w:p w14:paraId="0E9064A1" w14:textId="77777777" w:rsidR="001B68A3" w:rsidRPr="001B68A3" w:rsidRDefault="001B68A3" w:rsidP="001B68A3">
            <w:pPr>
              <w:rPr>
                <w:rFonts w:ascii="Arial" w:hAnsi="Arial" w:cs="Arial"/>
                <w:sz w:val="24"/>
              </w:rPr>
            </w:pPr>
          </w:p>
          <w:p w14:paraId="54712A70" w14:textId="77777777" w:rsidR="001B68A3" w:rsidRPr="001B68A3" w:rsidRDefault="001B68A3" w:rsidP="001B68A3">
            <w:pPr>
              <w:rPr>
                <w:rFonts w:ascii="Arial" w:hAnsi="Arial" w:cs="Arial"/>
                <w:sz w:val="24"/>
              </w:rPr>
            </w:pPr>
          </w:p>
          <w:p w14:paraId="1475DC23" w14:textId="77777777" w:rsidR="001B68A3" w:rsidRPr="001B68A3" w:rsidRDefault="001B68A3" w:rsidP="001B68A3">
            <w:pPr>
              <w:rPr>
                <w:rFonts w:ascii="Arial" w:hAnsi="Arial" w:cs="Arial"/>
                <w:sz w:val="24"/>
              </w:rPr>
            </w:pPr>
          </w:p>
          <w:p w14:paraId="088AEF34" w14:textId="77777777" w:rsidR="001B68A3" w:rsidRPr="001B68A3" w:rsidRDefault="001B68A3" w:rsidP="001B68A3">
            <w:pPr>
              <w:rPr>
                <w:rFonts w:ascii="Arial" w:hAnsi="Arial" w:cs="Arial"/>
                <w:sz w:val="24"/>
              </w:rPr>
            </w:pPr>
          </w:p>
          <w:p w14:paraId="5507521D" w14:textId="77777777" w:rsidR="001B68A3" w:rsidRPr="001B68A3" w:rsidRDefault="001B68A3" w:rsidP="001B68A3">
            <w:pPr>
              <w:rPr>
                <w:rFonts w:ascii="Arial" w:hAnsi="Arial" w:cs="Arial"/>
                <w:sz w:val="24"/>
              </w:rPr>
            </w:pPr>
          </w:p>
        </w:tc>
      </w:tr>
      <w:tr w:rsidR="001B68A3" w:rsidRPr="001B68A3" w14:paraId="339E1A64" w14:textId="77777777" w:rsidTr="00D4342B">
        <w:tc>
          <w:tcPr>
            <w:tcW w:w="3050" w:type="dxa"/>
          </w:tcPr>
          <w:p w14:paraId="5987F895" w14:textId="77777777" w:rsidR="001B68A3" w:rsidRPr="001B68A3" w:rsidRDefault="001B68A3" w:rsidP="001B68A3">
            <w:pPr>
              <w:tabs>
                <w:tab w:val="left" w:pos="1080"/>
              </w:tabs>
              <w:rPr>
                <w:rFonts w:ascii="Arial" w:hAnsi="Arial" w:cs="Arial"/>
                <w:sz w:val="24"/>
                <w:szCs w:val="24"/>
              </w:rPr>
            </w:pPr>
            <w:r w:rsidRPr="001B68A3">
              <w:rPr>
                <w:rFonts w:ascii="Arial" w:hAnsi="Arial" w:cs="Arial"/>
                <w:sz w:val="24"/>
                <w:szCs w:val="24"/>
              </w:rPr>
              <w:t>An individual’s legal representative</w:t>
            </w:r>
          </w:p>
          <w:p w14:paraId="50586477" w14:textId="77777777" w:rsidR="001B68A3" w:rsidRPr="001B68A3" w:rsidRDefault="001B68A3" w:rsidP="001B68A3">
            <w:pPr>
              <w:rPr>
                <w:rFonts w:ascii="Arial" w:hAnsi="Arial" w:cs="Arial"/>
                <w:sz w:val="24"/>
                <w:szCs w:val="24"/>
              </w:rPr>
            </w:pPr>
          </w:p>
        </w:tc>
        <w:tc>
          <w:tcPr>
            <w:tcW w:w="4468" w:type="dxa"/>
          </w:tcPr>
          <w:p w14:paraId="6A12F821" w14:textId="77777777" w:rsidR="001B68A3" w:rsidRPr="001B68A3" w:rsidRDefault="001B68A3" w:rsidP="001B68A3">
            <w:pPr>
              <w:tabs>
                <w:tab w:val="left" w:pos="1080"/>
              </w:tabs>
              <w:rPr>
                <w:rFonts w:ascii="Arial" w:hAnsi="Arial" w:cs="Arial"/>
                <w:sz w:val="24"/>
                <w:szCs w:val="24"/>
              </w:rPr>
            </w:pPr>
            <w:r w:rsidRPr="001B68A3">
              <w:rPr>
                <w:rFonts w:ascii="Arial" w:hAnsi="Arial" w:cs="Arial"/>
                <w:sz w:val="24"/>
                <w:szCs w:val="24"/>
              </w:rPr>
              <w:t>Those holding, for example, Power of Attorney or Parental Responsibility* can apply on behalf of the individuals and may be provided with a copy of the local adverse event review report</w:t>
            </w:r>
          </w:p>
          <w:p w14:paraId="74C5EE17" w14:textId="77777777" w:rsidR="001B68A3" w:rsidRPr="001B68A3" w:rsidRDefault="001B68A3" w:rsidP="001B68A3">
            <w:pPr>
              <w:tabs>
                <w:tab w:val="left" w:pos="1080"/>
              </w:tabs>
              <w:rPr>
                <w:rFonts w:ascii="Arial" w:hAnsi="Arial" w:cs="Arial"/>
                <w:sz w:val="24"/>
                <w:szCs w:val="24"/>
              </w:rPr>
            </w:pPr>
          </w:p>
          <w:p w14:paraId="684BDBF8" w14:textId="77777777" w:rsidR="001B68A3" w:rsidRPr="001B68A3" w:rsidRDefault="001B68A3" w:rsidP="001B68A3">
            <w:pPr>
              <w:rPr>
                <w:rFonts w:ascii="Arial" w:hAnsi="Arial" w:cs="Arial"/>
                <w:sz w:val="24"/>
                <w:szCs w:val="24"/>
              </w:rPr>
            </w:pPr>
            <w:r w:rsidRPr="001B68A3">
              <w:rPr>
                <w:rFonts w:ascii="Arial" w:hAnsi="Arial" w:cs="Arial"/>
                <w:sz w:val="24"/>
                <w:szCs w:val="24"/>
              </w:rPr>
              <w:t xml:space="preserve">* Even if a child is too young to understand the implications of subject access rights, data about them is still their personal data and does not belong to anyone else, </w:t>
            </w:r>
            <w:r w:rsidRPr="001B68A3">
              <w:rPr>
                <w:rFonts w:ascii="Arial" w:hAnsi="Arial" w:cs="Arial"/>
                <w:sz w:val="24"/>
                <w:szCs w:val="24"/>
              </w:rPr>
              <w:lastRenderedPageBreak/>
              <w:t xml:space="preserve">such as a parent or guardian.  </w:t>
            </w:r>
            <w:proofErr w:type="gramStart"/>
            <w:r w:rsidRPr="001B68A3">
              <w:rPr>
                <w:rFonts w:ascii="Arial" w:hAnsi="Arial" w:cs="Arial"/>
                <w:sz w:val="24"/>
                <w:szCs w:val="24"/>
              </w:rPr>
              <w:t>So</w:t>
            </w:r>
            <w:proofErr w:type="gramEnd"/>
            <w:r w:rsidRPr="001B68A3">
              <w:rPr>
                <w:rFonts w:ascii="Arial" w:hAnsi="Arial" w:cs="Arial"/>
                <w:sz w:val="24"/>
                <w:szCs w:val="24"/>
              </w:rPr>
              <w:t xml:space="preserve"> it is the child who has a right of access to the information held about them, even though in the case of young children these rights are likely to be exercised by those with parental responsibility for them.  However, in Scotland, the law presumes that a child aged 12 years or more has the capacity to make a subject access request.  </w:t>
            </w:r>
          </w:p>
        </w:tc>
        <w:tc>
          <w:tcPr>
            <w:tcW w:w="2336" w:type="dxa"/>
          </w:tcPr>
          <w:p w14:paraId="41429D6C" w14:textId="77777777" w:rsidR="001B68A3" w:rsidRPr="001B68A3" w:rsidRDefault="001B68A3" w:rsidP="001B68A3">
            <w:pPr>
              <w:rPr>
                <w:rFonts w:ascii="Arial" w:hAnsi="Arial" w:cs="Arial"/>
                <w:sz w:val="24"/>
              </w:rPr>
            </w:pPr>
          </w:p>
        </w:tc>
      </w:tr>
      <w:tr w:rsidR="001B68A3" w:rsidRPr="001B68A3" w14:paraId="596718DF" w14:textId="77777777" w:rsidTr="00D4342B">
        <w:tc>
          <w:tcPr>
            <w:tcW w:w="3050" w:type="dxa"/>
          </w:tcPr>
          <w:p w14:paraId="53674638" w14:textId="77777777" w:rsidR="001B68A3" w:rsidRPr="001B68A3" w:rsidRDefault="001B68A3" w:rsidP="001B68A3">
            <w:pPr>
              <w:tabs>
                <w:tab w:val="left" w:pos="1080"/>
              </w:tabs>
              <w:rPr>
                <w:rFonts w:ascii="Arial" w:hAnsi="Arial" w:cs="Arial"/>
                <w:sz w:val="24"/>
                <w:szCs w:val="24"/>
              </w:rPr>
            </w:pPr>
            <w:r w:rsidRPr="001B68A3">
              <w:rPr>
                <w:rFonts w:ascii="Arial" w:hAnsi="Arial" w:cs="Arial"/>
                <w:sz w:val="24"/>
                <w:szCs w:val="24"/>
              </w:rPr>
              <w:t xml:space="preserve">Solicitors and Other Third Parties </w:t>
            </w:r>
          </w:p>
        </w:tc>
        <w:tc>
          <w:tcPr>
            <w:tcW w:w="4468" w:type="dxa"/>
          </w:tcPr>
          <w:p w14:paraId="3BFDAEA8" w14:textId="77777777" w:rsidR="001B68A3" w:rsidRPr="001B68A3" w:rsidRDefault="001B68A3" w:rsidP="001B68A3">
            <w:pPr>
              <w:tabs>
                <w:tab w:val="left" w:pos="1080"/>
              </w:tabs>
              <w:rPr>
                <w:rFonts w:ascii="Arial" w:hAnsi="Arial" w:cs="Arial"/>
                <w:sz w:val="24"/>
                <w:szCs w:val="24"/>
              </w:rPr>
            </w:pPr>
            <w:r w:rsidRPr="001B68A3">
              <w:rPr>
                <w:rFonts w:ascii="Arial" w:hAnsi="Arial" w:cs="Arial"/>
                <w:sz w:val="24"/>
                <w:szCs w:val="24"/>
              </w:rPr>
              <w:t xml:space="preserve">Can apply for access with express permission of the data subject; </w:t>
            </w:r>
            <w:proofErr w:type="gramStart"/>
            <w:r w:rsidRPr="001B68A3">
              <w:rPr>
                <w:rFonts w:ascii="Arial" w:hAnsi="Arial" w:cs="Arial"/>
                <w:sz w:val="24"/>
                <w:szCs w:val="24"/>
              </w:rPr>
              <w:t>however</w:t>
            </w:r>
            <w:proofErr w:type="gramEnd"/>
            <w:r w:rsidRPr="001B68A3">
              <w:rPr>
                <w:rFonts w:ascii="Arial" w:hAnsi="Arial" w:cs="Arial"/>
                <w:sz w:val="24"/>
                <w:szCs w:val="24"/>
              </w:rPr>
              <w:t xml:space="preserve"> requests will require a signed mandate.  If the individual is </w:t>
            </w:r>
            <w:proofErr w:type="gramStart"/>
            <w:r w:rsidRPr="001B68A3">
              <w:rPr>
                <w:rFonts w:ascii="Arial" w:hAnsi="Arial" w:cs="Arial"/>
                <w:sz w:val="24"/>
                <w:szCs w:val="24"/>
              </w:rPr>
              <w:t>deceased</w:t>
            </w:r>
            <w:proofErr w:type="gramEnd"/>
            <w:r w:rsidRPr="001B68A3">
              <w:rPr>
                <w:rFonts w:ascii="Arial" w:hAnsi="Arial" w:cs="Arial"/>
                <w:sz w:val="24"/>
                <w:szCs w:val="24"/>
              </w:rPr>
              <w:t xml:space="preserve"> the Access to Health Records Act (1990) should be applied to any request. </w:t>
            </w:r>
          </w:p>
          <w:p w14:paraId="0E22347B" w14:textId="77777777" w:rsidR="001B68A3" w:rsidRPr="001B68A3" w:rsidRDefault="001B68A3" w:rsidP="001B68A3">
            <w:pPr>
              <w:tabs>
                <w:tab w:val="left" w:pos="1080"/>
              </w:tabs>
              <w:rPr>
                <w:rFonts w:ascii="Arial" w:hAnsi="Arial" w:cs="Arial"/>
                <w:sz w:val="24"/>
                <w:szCs w:val="24"/>
              </w:rPr>
            </w:pPr>
          </w:p>
          <w:p w14:paraId="5144172B" w14:textId="77777777" w:rsidR="001B68A3" w:rsidRPr="001B68A3" w:rsidRDefault="001B68A3" w:rsidP="001B68A3">
            <w:pPr>
              <w:tabs>
                <w:tab w:val="left" w:pos="1080"/>
              </w:tabs>
              <w:rPr>
                <w:rFonts w:ascii="Arial" w:hAnsi="Arial" w:cs="Arial"/>
                <w:sz w:val="24"/>
                <w:szCs w:val="24"/>
              </w:rPr>
            </w:pPr>
            <w:r w:rsidRPr="001B68A3">
              <w:rPr>
                <w:rFonts w:ascii="Arial" w:hAnsi="Arial" w:cs="Arial"/>
                <w:sz w:val="24"/>
                <w:szCs w:val="24"/>
              </w:rPr>
              <w:t>-</w:t>
            </w:r>
            <w:r w:rsidRPr="001B68A3" w:rsidDel="00F0328A">
              <w:rPr>
                <w:rFonts w:ascii="Arial" w:hAnsi="Arial" w:cs="Arial"/>
                <w:sz w:val="24"/>
                <w:szCs w:val="24"/>
              </w:rPr>
              <w:t xml:space="preserve"> </w:t>
            </w:r>
          </w:p>
        </w:tc>
        <w:tc>
          <w:tcPr>
            <w:tcW w:w="2336" w:type="dxa"/>
          </w:tcPr>
          <w:p w14:paraId="3C39A736" w14:textId="77777777" w:rsidR="001B68A3" w:rsidRPr="001B68A3" w:rsidRDefault="001B68A3" w:rsidP="001B68A3">
            <w:pPr>
              <w:rPr>
                <w:rFonts w:ascii="Arial" w:hAnsi="Arial" w:cs="Arial"/>
                <w:sz w:val="24"/>
              </w:rPr>
            </w:pPr>
            <w:r w:rsidRPr="001B68A3">
              <w:rPr>
                <w:rFonts w:ascii="Arial" w:hAnsi="Arial" w:cs="Arial"/>
                <w:sz w:val="24"/>
              </w:rPr>
              <w:t xml:space="preserve">Mandate Form – </w:t>
            </w:r>
          </w:p>
          <w:p w14:paraId="0AD08D40" w14:textId="77777777" w:rsidR="001B68A3" w:rsidRPr="001B68A3" w:rsidRDefault="001B68A3" w:rsidP="001B68A3">
            <w:pPr>
              <w:rPr>
                <w:rFonts w:ascii="Arial" w:hAnsi="Arial" w:cs="Arial"/>
                <w:sz w:val="24"/>
              </w:rPr>
            </w:pPr>
            <w:r w:rsidRPr="001B68A3">
              <w:rPr>
                <w:rFonts w:ascii="Arial" w:hAnsi="Arial" w:cs="Arial"/>
                <w:sz w:val="24"/>
              </w:rPr>
              <w:t xml:space="preserve">click </w:t>
            </w:r>
            <w:hyperlink r:id="rId6" w:history="1">
              <w:r w:rsidRPr="001B68A3">
                <w:rPr>
                  <w:rFonts w:ascii="Arial" w:hAnsi="Arial" w:cs="Arial"/>
                  <w:color w:val="0000FF"/>
                  <w:sz w:val="24"/>
                  <w:u w:val="single"/>
                </w:rPr>
                <w:t>here</w:t>
              </w:r>
            </w:hyperlink>
          </w:p>
          <w:p w14:paraId="7DC7806D" w14:textId="77777777" w:rsidR="001B68A3" w:rsidRPr="001B68A3" w:rsidRDefault="001B68A3" w:rsidP="001B68A3">
            <w:pPr>
              <w:rPr>
                <w:rFonts w:ascii="Arial" w:hAnsi="Arial" w:cs="Arial"/>
                <w:sz w:val="24"/>
              </w:rPr>
            </w:pPr>
          </w:p>
          <w:p w14:paraId="6996CDEE" w14:textId="77777777" w:rsidR="001B68A3" w:rsidRPr="001B68A3" w:rsidRDefault="001B68A3" w:rsidP="001B68A3">
            <w:pPr>
              <w:rPr>
                <w:sz w:val="24"/>
              </w:rPr>
            </w:pPr>
          </w:p>
        </w:tc>
      </w:tr>
      <w:tr w:rsidR="001B68A3" w:rsidRPr="001B68A3" w14:paraId="0E2901D0" w14:textId="77777777" w:rsidTr="00D4342B">
        <w:tc>
          <w:tcPr>
            <w:tcW w:w="3050" w:type="dxa"/>
          </w:tcPr>
          <w:p w14:paraId="6332150D" w14:textId="77777777" w:rsidR="001B68A3" w:rsidRPr="001B68A3" w:rsidRDefault="001B68A3" w:rsidP="001B68A3">
            <w:pPr>
              <w:tabs>
                <w:tab w:val="left" w:pos="1080"/>
              </w:tabs>
              <w:rPr>
                <w:rFonts w:ascii="Arial" w:hAnsi="Arial" w:cs="Arial"/>
                <w:sz w:val="24"/>
                <w:szCs w:val="24"/>
              </w:rPr>
            </w:pPr>
            <w:r w:rsidRPr="001B68A3">
              <w:rPr>
                <w:rFonts w:ascii="Arial" w:hAnsi="Arial" w:cs="Arial"/>
                <w:sz w:val="24"/>
                <w:szCs w:val="24"/>
              </w:rPr>
              <w:t xml:space="preserve">Police Scotland  </w:t>
            </w:r>
          </w:p>
          <w:p w14:paraId="135E7F19" w14:textId="77777777" w:rsidR="001B68A3" w:rsidRPr="001B68A3" w:rsidRDefault="001B68A3" w:rsidP="001B68A3">
            <w:pPr>
              <w:tabs>
                <w:tab w:val="left" w:pos="1080"/>
              </w:tabs>
              <w:rPr>
                <w:rFonts w:ascii="Arial" w:hAnsi="Arial" w:cs="Arial"/>
                <w:sz w:val="24"/>
                <w:szCs w:val="24"/>
              </w:rPr>
            </w:pPr>
          </w:p>
        </w:tc>
        <w:tc>
          <w:tcPr>
            <w:tcW w:w="4468" w:type="dxa"/>
          </w:tcPr>
          <w:p w14:paraId="2B3EA0B9" w14:textId="77777777" w:rsidR="001B68A3" w:rsidRPr="001B68A3" w:rsidRDefault="001B68A3" w:rsidP="001B68A3">
            <w:pPr>
              <w:tabs>
                <w:tab w:val="left" w:pos="1080"/>
              </w:tabs>
              <w:rPr>
                <w:rFonts w:ascii="Arial" w:eastAsia="Calibri" w:hAnsi="Arial" w:cs="Arial"/>
                <w:color w:val="000000" w:themeColor="text1"/>
                <w:sz w:val="24"/>
                <w:szCs w:val="24"/>
              </w:rPr>
            </w:pPr>
            <w:r w:rsidRPr="001B68A3">
              <w:rPr>
                <w:rFonts w:ascii="Arial" w:hAnsi="Arial" w:cs="Arial"/>
                <w:sz w:val="24"/>
                <w:szCs w:val="24"/>
              </w:rPr>
              <w:t xml:space="preserve"> Requests</w:t>
            </w:r>
            <w:r w:rsidRPr="001B68A3">
              <w:rPr>
                <w:rFonts w:ascii="Arial" w:eastAsia="Calibri" w:hAnsi="Arial" w:cs="Arial"/>
                <w:color w:val="000000" w:themeColor="text1"/>
                <w:sz w:val="24"/>
                <w:szCs w:val="24"/>
              </w:rPr>
              <w:t xml:space="preserve"> requested by the police for the purposes of</w:t>
            </w:r>
            <w:r w:rsidRPr="001B68A3">
              <w:rPr>
                <w:rFonts w:ascii="Arial" w:eastAsia="Calibri" w:hAnsi="Arial" w:cs="Arial"/>
                <w:i/>
                <w:iCs/>
                <w:color w:val="000000" w:themeColor="text1"/>
                <w:sz w:val="24"/>
                <w:szCs w:val="24"/>
              </w:rPr>
              <w:t xml:space="preserve"> the prevention or detection of </w:t>
            </w:r>
            <w:proofErr w:type="gramStart"/>
            <w:r w:rsidRPr="001B68A3">
              <w:rPr>
                <w:rFonts w:ascii="Arial" w:eastAsia="Calibri" w:hAnsi="Arial" w:cs="Arial"/>
                <w:i/>
                <w:iCs/>
                <w:color w:val="000000" w:themeColor="text1"/>
                <w:sz w:val="24"/>
                <w:szCs w:val="24"/>
              </w:rPr>
              <w:t>crime</w:t>
            </w:r>
            <w:proofErr w:type="gramEnd"/>
            <w:r w:rsidRPr="001B68A3">
              <w:rPr>
                <w:rFonts w:ascii="Arial" w:eastAsia="Calibri" w:hAnsi="Arial" w:cs="Arial"/>
                <w:i/>
                <w:iCs/>
                <w:color w:val="000000" w:themeColor="text1"/>
                <w:sz w:val="24"/>
                <w:szCs w:val="24"/>
              </w:rPr>
              <w:t xml:space="preserve"> </w:t>
            </w:r>
            <w:r w:rsidRPr="001B68A3">
              <w:rPr>
                <w:rFonts w:ascii="Arial" w:eastAsia="Calibri" w:hAnsi="Arial" w:cs="Arial"/>
                <w:color w:val="000000" w:themeColor="text1"/>
                <w:sz w:val="24"/>
                <w:szCs w:val="24"/>
              </w:rPr>
              <w:t>or</w:t>
            </w:r>
            <w:r w:rsidRPr="001B68A3">
              <w:rPr>
                <w:rFonts w:ascii="Arial" w:eastAsia="Calibri" w:hAnsi="Arial" w:cs="Arial"/>
                <w:i/>
                <w:iCs/>
                <w:color w:val="000000" w:themeColor="text1"/>
                <w:sz w:val="24"/>
                <w:szCs w:val="24"/>
              </w:rPr>
              <w:t xml:space="preserve"> the apprehension or prosecution of offenders</w:t>
            </w:r>
            <w:r w:rsidRPr="001B68A3">
              <w:rPr>
                <w:rFonts w:ascii="Arial" w:eastAsia="Calibri" w:hAnsi="Arial" w:cs="Arial"/>
                <w:color w:val="000000" w:themeColor="text1"/>
                <w:sz w:val="24"/>
                <w:szCs w:val="24"/>
              </w:rPr>
              <w:t xml:space="preserve"> will be honoured.  </w:t>
            </w:r>
          </w:p>
          <w:p w14:paraId="1CA8AD5B" w14:textId="77777777" w:rsidR="001B68A3" w:rsidRPr="001B68A3" w:rsidRDefault="001B68A3" w:rsidP="001B68A3">
            <w:pPr>
              <w:tabs>
                <w:tab w:val="left" w:pos="1080"/>
              </w:tabs>
              <w:rPr>
                <w:rFonts w:ascii="Arial" w:eastAsia="Calibri" w:hAnsi="Arial" w:cs="Arial"/>
                <w:color w:val="000000" w:themeColor="text1"/>
                <w:sz w:val="24"/>
                <w:szCs w:val="24"/>
              </w:rPr>
            </w:pPr>
            <w:r w:rsidRPr="001B68A3">
              <w:rPr>
                <w:rFonts w:ascii="Arial" w:eastAsia="Calibri" w:hAnsi="Arial" w:cs="Arial"/>
                <w:color w:val="000000" w:themeColor="text1"/>
                <w:sz w:val="24"/>
                <w:szCs w:val="24"/>
              </w:rPr>
              <w:t xml:space="preserve">The request must be in written form stating the requirement for the disclosure of such data and signed by a senior member of the police.  </w:t>
            </w:r>
          </w:p>
          <w:p w14:paraId="0E0F2EDD" w14:textId="77777777" w:rsidR="001B68A3" w:rsidRPr="001B68A3" w:rsidRDefault="001B68A3" w:rsidP="001B68A3">
            <w:pPr>
              <w:tabs>
                <w:tab w:val="left" w:pos="1080"/>
              </w:tabs>
              <w:rPr>
                <w:rFonts w:ascii="Arial" w:eastAsia="Calibri" w:hAnsi="Arial" w:cs="Arial"/>
                <w:color w:val="000000" w:themeColor="text1"/>
                <w:sz w:val="24"/>
                <w:szCs w:val="24"/>
              </w:rPr>
            </w:pPr>
          </w:p>
          <w:p w14:paraId="77858D9A" w14:textId="77777777" w:rsidR="001B68A3" w:rsidRPr="001B68A3" w:rsidRDefault="001B68A3" w:rsidP="001B68A3">
            <w:pPr>
              <w:tabs>
                <w:tab w:val="left" w:pos="1080"/>
              </w:tabs>
              <w:rPr>
                <w:rFonts w:ascii="Arial" w:hAnsi="Arial" w:cs="Arial"/>
                <w:sz w:val="24"/>
                <w:szCs w:val="24"/>
              </w:rPr>
            </w:pPr>
            <w:r w:rsidRPr="001B68A3">
              <w:rPr>
                <w:rFonts w:ascii="Arial" w:hAnsi="Arial" w:cs="Arial"/>
                <w:sz w:val="24"/>
                <w:szCs w:val="24"/>
              </w:rPr>
              <w:t xml:space="preserve">Where the Police attend the premises, the Senior Manager must be notified and should be present to support staff. </w:t>
            </w:r>
          </w:p>
          <w:p w14:paraId="59964B6C" w14:textId="77777777" w:rsidR="001B68A3" w:rsidRPr="001B68A3" w:rsidRDefault="001B68A3" w:rsidP="001B68A3">
            <w:pPr>
              <w:tabs>
                <w:tab w:val="left" w:pos="1080"/>
              </w:tabs>
              <w:rPr>
                <w:rFonts w:ascii="Arial" w:hAnsi="Arial" w:cs="Arial"/>
                <w:sz w:val="24"/>
                <w:szCs w:val="24"/>
              </w:rPr>
            </w:pPr>
          </w:p>
          <w:p w14:paraId="75D85F73" w14:textId="77777777" w:rsidR="001B68A3" w:rsidRPr="001B68A3" w:rsidRDefault="001B68A3" w:rsidP="001B68A3">
            <w:pPr>
              <w:tabs>
                <w:tab w:val="left" w:pos="1080"/>
              </w:tabs>
              <w:rPr>
                <w:rFonts w:ascii="Arial" w:hAnsi="Arial" w:cs="Arial"/>
                <w:sz w:val="24"/>
                <w:szCs w:val="24"/>
              </w:rPr>
            </w:pPr>
          </w:p>
        </w:tc>
        <w:tc>
          <w:tcPr>
            <w:tcW w:w="2336" w:type="dxa"/>
          </w:tcPr>
          <w:p w14:paraId="08D2AA3A" w14:textId="77777777" w:rsidR="001B68A3" w:rsidRPr="001B68A3" w:rsidRDefault="001B68A3" w:rsidP="001B68A3">
            <w:pPr>
              <w:rPr>
                <w:rFonts w:ascii="Arial" w:hAnsi="Arial" w:cs="Arial"/>
                <w:sz w:val="24"/>
              </w:rPr>
            </w:pPr>
            <w:r w:rsidRPr="001B68A3">
              <w:rPr>
                <w:rFonts w:ascii="Arial" w:hAnsi="Arial" w:cs="Arial"/>
                <w:sz w:val="24"/>
              </w:rPr>
              <w:t xml:space="preserve">NHS Fife Police Enquiries guidance notes </w:t>
            </w:r>
            <w:bookmarkStart w:id="0" w:name="_MON_1739269172"/>
            <w:bookmarkEnd w:id="0"/>
            <w:r w:rsidRPr="001B68A3">
              <w:rPr>
                <w:rFonts w:ascii="Arial" w:hAnsi="Arial" w:cs="Arial"/>
                <w:sz w:val="24"/>
              </w:rPr>
              <w:object w:dxaOrig="1508" w:dyaOrig="941" w14:anchorId="6613E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7.25pt" o:ole="">
                  <v:imagedata r:id="rId7" o:title=""/>
                </v:shape>
                <o:OLEObject Type="Embed" ProgID="Word.Document.12" ShapeID="_x0000_i1025" DrawAspect="Icon" ObjectID="_1745996878" r:id="rId8">
                  <o:FieldCodes>\s</o:FieldCodes>
                </o:OLEObject>
              </w:object>
            </w:r>
          </w:p>
          <w:p w14:paraId="14D938D5" w14:textId="77777777" w:rsidR="001B68A3" w:rsidRPr="001B68A3" w:rsidRDefault="001B68A3" w:rsidP="001B68A3">
            <w:pPr>
              <w:rPr>
                <w:rFonts w:ascii="Arial" w:hAnsi="Arial" w:cs="Arial"/>
                <w:sz w:val="24"/>
              </w:rPr>
            </w:pPr>
          </w:p>
          <w:bookmarkStart w:id="1" w:name="_MON_1739269237"/>
          <w:bookmarkEnd w:id="1"/>
          <w:p w14:paraId="6C65FAF9" w14:textId="77777777" w:rsidR="001B68A3" w:rsidRPr="001B68A3" w:rsidRDefault="001B68A3" w:rsidP="001B68A3">
            <w:pPr>
              <w:rPr>
                <w:rFonts w:ascii="Arial" w:hAnsi="Arial" w:cs="Arial"/>
                <w:sz w:val="24"/>
              </w:rPr>
            </w:pPr>
            <w:r w:rsidRPr="001B68A3">
              <w:rPr>
                <w:rFonts w:ascii="Arial" w:hAnsi="Arial" w:cs="Arial"/>
                <w:sz w:val="24"/>
              </w:rPr>
              <w:object w:dxaOrig="1508" w:dyaOrig="941" w14:anchorId="24C2FCDB">
                <v:shape id="_x0000_i1026" type="#_x0000_t75" style="width:75.75pt;height:47.25pt" o:ole="">
                  <v:imagedata r:id="rId9" o:title=""/>
                </v:shape>
                <o:OLEObject Type="Embed" ProgID="Word.Document.12" ShapeID="_x0000_i1026" DrawAspect="Icon" ObjectID="_1745996879" r:id="rId10">
                  <o:FieldCodes>\s</o:FieldCodes>
                </o:OLEObject>
              </w:object>
            </w:r>
          </w:p>
          <w:p w14:paraId="1F5A1A1F" w14:textId="77777777" w:rsidR="001B68A3" w:rsidRPr="001B68A3" w:rsidRDefault="001B68A3" w:rsidP="001B68A3">
            <w:pPr>
              <w:rPr>
                <w:rFonts w:ascii="Arial" w:hAnsi="Arial" w:cs="Arial"/>
                <w:sz w:val="24"/>
              </w:rPr>
            </w:pPr>
          </w:p>
          <w:p w14:paraId="5EA8CDE2" w14:textId="77777777" w:rsidR="001B68A3" w:rsidRPr="001B68A3" w:rsidRDefault="001B68A3" w:rsidP="001B68A3">
            <w:pPr>
              <w:rPr>
                <w:rFonts w:ascii="Arial" w:hAnsi="Arial" w:cs="Arial"/>
                <w:sz w:val="24"/>
              </w:rPr>
            </w:pPr>
            <w:r w:rsidRPr="001B68A3">
              <w:rPr>
                <w:rFonts w:ascii="Arial" w:hAnsi="Arial" w:cs="Arial"/>
                <w:sz w:val="24"/>
              </w:rPr>
              <w:t xml:space="preserve">Police Scotland request form </w:t>
            </w:r>
          </w:p>
          <w:p w14:paraId="0CEF40E7" w14:textId="77777777" w:rsidR="001B68A3" w:rsidRPr="001B68A3" w:rsidRDefault="001B68A3" w:rsidP="001B68A3">
            <w:pPr>
              <w:rPr>
                <w:rFonts w:ascii="Arial" w:hAnsi="Arial" w:cs="Arial"/>
                <w:sz w:val="24"/>
              </w:rPr>
            </w:pPr>
          </w:p>
          <w:bookmarkStart w:id="2" w:name="_MON_1739269337"/>
          <w:bookmarkEnd w:id="2"/>
          <w:p w14:paraId="5199A3AD" w14:textId="77777777" w:rsidR="001B68A3" w:rsidRPr="001B68A3" w:rsidRDefault="001B68A3" w:rsidP="001B68A3">
            <w:pPr>
              <w:rPr>
                <w:rFonts w:ascii="Arial" w:hAnsi="Arial" w:cs="Arial"/>
                <w:sz w:val="24"/>
              </w:rPr>
            </w:pPr>
            <w:r w:rsidRPr="001B68A3">
              <w:rPr>
                <w:rFonts w:ascii="Arial" w:hAnsi="Arial" w:cs="Arial"/>
                <w:sz w:val="24"/>
              </w:rPr>
              <w:object w:dxaOrig="1508" w:dyaOrig="941" w14:anchorId="676B2A35">
                <v:shape id="_x0000_i1027" type="#_x0000_t75" style="width:75.75pt;height:47.25pt" o:ole="">
                  <v:imagedata r:id="rId11" o:title=""/>
                </v:shape>
                <o:OLEObject Type="Embed" ProgID="Word.Document.8" ShapeID="_x0000_i1027" DrawAspect="Icon" ObjectID="_1745996880" r:id="rId12">
                  <o:FieldCodes>\s</o:FieldCodes>
                </o:OLEObject>
              </w:object>
            </w:r>
          </w:p>
        </w:tc>
      </w:tr>
      <w:tr w:rsidR="001B68A3" w:rsidRPr="001B68A3" w14:paraId="28B31370" w14:textId="77777777" w:rsidTr="00D4342B">
        <w:tc>
          <w:tcPr>
            <w:tcW w:w="3050" w:type="dxa"/>
          </w:tcPr>
          <w:p w14:paraId="5637337F" w14:textId="77777777" w:rsidR="001B68A3" w:rsidRPr="001B68A3" w:rsidRDefault="001B68A3" w:rsidP="001B68A3">
            <w:pPr>
              <w:tabs>
                <w:tab w:val="left" w:pos="1080"/>
              </w:tabs>
              <w:rPr>
                <w:rFonts w:ascii="Arial" w:hAnsi="Arial" w:cs="Arial"/>
                <w:sz w:val="24"/>
                <w:szCs w:val="24"/>
              </w:rPr>
            </w:pPr>
            <w:bookmarkStart w:id="3" w:name="_Hlk130822848"/>
            <w:r w:rsidRPr="001B68A3">
              <w:rPr>
                <w:rFonts w:ascii="Arial" w:hAnsi="Arial" w:cs="Arial"/>
                <w:sz w:val="24"/>
                <w:szCs w:val="24"/>
              </w:rPr>
              <w:t>External Partner Organisations</w:t>
            </w:r>
          </w:p>
          <w:p w14:paraId="1EBF6C0D" w14:textId="77777777" w:rsidR="001B68A3" w:rsidRPr="001B68A3" w:rsidRDefault="001B68A3" w:rsidP="001B68A3">
            <w:pPr>
              <w:rPr>
                <w:rFonts w:ascii="Arial" w:hAnsi="Arial" w:cs="Arial"/>
                <w:sz w:val="24"/>
                <w:szCs w:val="24"/>
              </w:rPr>
            </w:pPr>
          </w:p>
        </w:tc>
        <w:tc>
          <w:tcPr>
            <w:tcW w:w="4468" w:type="dxa"/>
          </w:tcPr>
          <w:p w14:paraId="30A0EB31" w14:textId="77777777" w:rsidR="001B68A3" w:rsidRPr="001B68A3" w:rsidRDefault="001B68A3" w:rsidP="001B68A3">
            <w:pPr>
              <w:tabs>
                <w:tab w:val="left" w:pos="1080"/>
              </w:tabs>
              <w:rPr>
                <w:rFonts w:ascii="Arial" w:hAnsi="Arial" w:cs="Arial"/>
                <w:sz w:val="24"/>
                <w:szCs w:val="24"/>
              </w:rPr>
            </w:pPr>
            <w:r w:rsidRPr="001B68A3">
              <w:rPr>
                <w:rFonts w:ascii="Arial" w:hAnsi="Arial" w:cs="Arial"/>
                <w:sz w:val="24"/>
                <w:szCs w:val="24"/>
              </w:rPr>
              <w:t>Requests received from the external partners below will be honoured as we have a duty to provide them with the requested information.</w:t>
            </w:r>
          </w:p>
          <w:p w14:paraId="286B80AF" w14:textId="77777777" w:rsidR="001B68A3" w:rsidRPr="001B68A3" w:rsidRDefault="001B68A3" w:rsidP="001B68A3">
            <w:pPr>
              <w:numPr>
                <w:ilvl w:val="0"/>
                <w:numId w:val="1"/>
              </w:numPr>
              <w:tabs>
                <w:tab w:val="left" w:pos="1080"/>
              </w:tabs>
              <w:ind w:left="358"/>
              <w:contextualSpacing/>
              <w:rPr>
                <w:rFonts w:ascii="Arial" w:hAnsi="Arial" w:cs="Arial"/>
                <w:sz w:val="24"/>
                <w:szCs w:val="24"/>
              </w:rPr>
            </w:pPr>
            <w:r w:rsidRPr="001B68A3">
              <w:rPr>
                <w:rFonts w:ascii="Arial" w:hAnsi="Arial" w:cs="Arial"/>
                <w:sz w:val="24"/>
                <w:szCs w:val="24"/>
              </w:rPr>
              <w:t>Health and Safety Executive</w:t>
            </w:r>
          </w:p>
          <w:p w14:paraId="3F3470CC" w14:textId="77777777" w:rsidR="001B68A3" w:rsidRPr="001B68A3" w:rsidRDefault="001B68A3" w:rsidP="001B68A3">
            <w:pPr>
              <w:numPr>
                <w:ilvl w:val="0"/>
                <w:numId w:val="1"/>
              </w:numPr>
              <w:tabs>
                <w:tab w:val="left" w:pos="1080"/>
              </w:tabs>
              <w:ind w:left="358"/>
              <w:contextualSpacing/>
              <w:rPr>
                <w:rFonts w:ascii="Arial" w:hAnsi="Arial" w:cs="Arial"/>
                <w:sz w:val="24"/>
                <w:szCs w:val="24"/>
              </w:rPr>
            </w:pPr>
            <w:r w:rsidRPr="001B68A3">
              <w:rPr>
                <w:rFonts w:ascii="Arial" w:hAnsi="Arial" w:cs="Arial"/>
                <w:sz w:val="24"/>
                <w:szCs w:val="24"/>
              </w:rPr>
              <w:t xml:space="preserve">Procurator Fiscal (any requests received </w:t>
            </w:r>
            <w:r w:rsidRPr="001B68A3">
              <w:rPr>
                <w:rFonts w:ascii="Arial" w:hAnsi="Arial" w:cs="Arial"/>
                <w:bCs/>
                <w:sz w:val="24"/>
                <w:szCs w:val="24"/>
                <w:u w:val="single"/>
              </w:rPr>
              <w:t>must</w:t>
            </w:r>
            <w:r w:rsidRPr="001B68A3">
              <w:rPr>
                <w:rFonts w:ascii="Arial" w:hAnsi="Arial" w:cs="Arial"/>
                <w:sz w:val="24"/>
                <w:szCs w:val="24"/>
              </w:rPr>
              <w:t xml:space="preserve"> be processed through the office of the Medical Director)</w:t>
            </w:r>
          </w:p>
          <w:p w14:paraId="59D816ED" w14:textId="77777777" w:rsidR="001B68A3" w:rsidRPr="001B68A3" w:rsidRDefault="001B68A3" w:rsidP="001B68A3">
            <w:pPr>
              <w:numPr>
                <w:ilvl w:val="0"/>
                <w:numId w:val="1"/>
              </w:numPr>
              <w:tabs>
                <w:tab w:val="left" w:pos="1080"/>
              </w:tabs>
              <w:ind w:left="358"/>
              <w:contextualSpacing/>
              <w:rPr>
                <w:rFonts w:ascii="Arial" w:hAnsi="Arial" w:cs="Arial"/>
                <w:sz w:val="24"/>
                <w:szCs w:val="24"/>
              </w:rPr>
            </w:pPr>
            <w:r w:rsidRPr="001B68A3">
              <w:rPr>
                <w:rFonts w:ascii="Arial" w:hAnsi="Arial" w:cs="Arial"/>
                <w:sz w:val="24"/>
                <w:szCs w:val="24"/>
              </w:rPr>
              <w:t xml:space="preserve">Scottish Public Services </w:t>
            </w:r>
          </w:p>
          <w:p w14:paraId="51F4739D" w14:textId="77777777" w:rsidR="001B68A3" w:rsidRPr="001B68A3" w:rsidRDefault="001B68A3" w:rsidP="001B68A3">
            <w:pPr>
              <w:numPr>
                <w:ilvl w:val="0"/>
                <w:numId w:val="1"/>
              </w:numPr>
              <w:tabs>
                <w:tab w:val="left" w:pos="1080"/>
              </w:tabs>
              <w:ind w:left="358"/>
              <w:contextualSpacing/>
              <w:rPr>
                <w:rFonts w:ascii="Arial" w:hAnsi="Arial" w:cs="Arial"/>
                <w:sz w:val="24"/>
                <w:szCs w:val="24"/>
              </w:rPr>
            </w:pPr>
            <w:r w:rsidRPr="001B68A3">
              <w:rPr>
                <w:rFonts w:ascii="Arial" w:hAnsi="Arial" w:cs="Arial"/>
                <w:sz w:val="24"/>
                <w:szCs w:val="24"/>
              </w:rPr>
              <w:lastRenderedPageBreak/>
              <w:t>Mental Welfare Commission</w:t>
            </w:r>
          </w:p>
        </w:tc>
        <w:tc>
          <w:tcPr>
            <w:tcW w:w="2336" w:type="dxa"/>
          </w:tcPr>
          <w:p w14:paraId="2A042EFE" w14:textId="77777777" w:rsidR="001B68A3" w:rsidRPr="001B68A3" w:rsidRDefault="001B68A3" w:rsidP="001B68A3">
            <w:pPr>
              <w:rPr>
                <w:rFonts w:ascii="Arial" w:hAnsi="Arial" w:cs="Arial"/>
                <w:sz w:val="24"/>
              </w:rPr>
            </w:pPr>
            <w:r w:rsidRPr="001B68A3">
              <w:rPr>
                <w:rFonts w:ascii="Arial" w:hAnsi="Arial" w:cs="Arial"/>
                <w:sz w:val="24"/>
              </w:rPr>
              <w:lastRenderedPageBreak/>
              <w:t xml:space="preserve">Notifying the Commission guidance – </w:t>
            </w:r>
          </w:p>
          <w:p w14:paraId="7D8BA1C2" w14:textId="77777777" w:rsidR="001B68A3" w:rsidRPr="001B68A3" w:rsidRDefault="001B68A3" w:rsidP="001B68A3">
            <w:pPr>
              <w:rPr>
                <w:rFonts w:ascii="Arial" w:hAnsi="Arial" w:cs="Arial"/>
                <w:sz w:val="24"/>
              </w:rPr>
            </w:pPr>
            <w:r w:rsidRPr="001B68A3">
              <w:rPr>
                <w:rFonts w:ascii="Arial" w:hAnsi="Arial" w:cs="Arial"/>
                <w:sz w:val="24"/>
              </w:rPr>
              <w:t xml:space="preserve">click </w:t>
            </w:r>
            <w:hyperlink r:id="rId13" w:history="1">
              <w:r w:rsidRPr="001B68A3">
                <w:rPr>
                  <w:rFonts w:ascii="Arial" w:hAnsi="Arial" w:cs="Arial"/>
                  <w:color w:val="0000FF"/>
                  <w:sz w:val="24"/>
                  <w:u w:val="single"/>
                </w:rPr>
                <w:t>here</w:t>
              </w:r>
            </w:hyperlink>
          </w:p>
          <w:p w14:paraId="70C9875C" w14:textId="77777777" w:rsidR="001B68A3" w:rsidRPr="001B68A3" w:rsidRDefault="001B68A3" w:rsidP="001B68A3">
            <w:pPr>
              <w:rPr>
                <w:rFonts w:ascii="Arial" w:hAnsi="Arial" w:cs="Arial"/>
                <w:sz w:val="24"/>
              </w:rPr>
            </w:pPr>
          </w:p>
          <w:p w14:paraId="7E5AC63C" w14:textId="77777777" w:rsidR="001B68A3" w:rsidRPr="001B68A3" w:rsidRDefault="001B68A3" w:rsidP="001B68A3">
            <w:pPr>
              <w:rPr>
                <w:rFonts w:ascii="Arial" w:hAnsi="Arial" w:cs="Arial"/>
                <w:sz w:val="24"/>
              </w:rPr>
            </w:pPr>
            <w:r w:rsidRPr="001B68A3">
              <w:rPr>
                <w:rFonts w:ascii="Arial" w:hAnsi="Arial" w:cs="Arial"/>
                <w:sz w:val="24"/>
              </w:rPr>
              <w:t xml:space="preserve">Reporting deaths to the Procurator Fiscal guidance – </w:t>
            </w:r>
          </w:p>
          <w:p w14:paraId="7B73E8B3" w14:textId="77777777" w:rsidR="001B68A3" w:rsidRPr="001B68A3" w:rsidRDefault="001B68A3" w:rsidP="001B68A3">
            <w:pPr>
              <w:rPr>
                <w:rFonts w:ascii="Arial" w:hAnsi="Arial" w:cs="Arial"/>
                <w:sz w:val="24"/>
              </w:rPr>
            </w:pPr>
            <w:r w:rsidRPr="001B68A3">
              <w:rPr>
                <w:rFonts w:ascii="Arial" w:hAnsi="Arial" w:cs="Arial"/>
                <w:sz w:val="24"/>
              </w:rPr>
              <w:t xml:space="preserve">click </w:t>
            </w:r>
            <w:hyperlink r:id="rId14" w:history="1">
              <w:r w:rsidRPr="001B68A3">
                <w:rPr>
                  <w:rFonts w:ascii="Arial" w:hAnsi="Arial" w:cs="Arial"/>
                  <w:color w:val="0000FF"/>
                  <w:sz w:val="24"/>
                  <w:u w:val="single"/>
                </w:rPr>
                <w:t>here</w:t>
              </w:r>
            </w:hyperlink>
            <w:r w:rsidRPr="001B68A3">
              <w:rPr>
                <w:sz w:val="24"/>
              </w:rPr>
              <w:t xml:space="preserve"> </w:t>
            </w:r>
          </w:p>
        </w:tc>
      </w:tr>
      <w:tr w:rsidR="001B68A3" w:rsidRPr="001B68A3" w14:paraId="1A2260AB" w14:textId="77777777" w:rsidTr="00D4342B">
        <w:tc>
          <w:tcPr>
            <w:tcW w:w="3050" w:type="dxa"/>
          </w:tcPr>
          <w:p w14:paraId="78FD85A1" w14:textId="77777777" w:rsidR="001B68A3" w:rsidRPr="001B68A3" w:rsidRDefault="001B68A3" w:rsidP="001B68A3">
            <w:pPr>
              <w:tabs>
                <w:tab w:val="left" w:pos="1080"/>
              </w:tabs>
              <w:rPr>
                <w:rFonts w:ascii="Arial" w:hAnsi="Arial" w:cs="Arial"/>
                <w:sz w:val="24"/>
                <w:szCs w:val="24"/>
              </w:rPr>
            </w:pPr>
            <w:r w:rsidRPr="001B68A3">
              <w:rPr>
                <w:rFonts w:ascii="Arial" w:hAnsi="Arial" w:cs="Arial"/>
                <w:sz w:val="24"/>
                <w:szCs w:val="24"/>
              </w:rPr>
              <w:t>Freedom of Information Requests</w:t>
            </w:r>
          </w:p>
          <w:p w14:paraId="30FC5871" w14:textId="77777777" w:rsidR="001B68A3" w:rsidRPr="001B68A3" w:rsidRDefault="001B68A3" w:rsidP="001B68A3">
            <w:pPr>
              <w:rPr>
                <w:rFonts w:ascii="Arial" w:hAnsi="Arial" w:cs="Arial"/>
                <w:sz w:val="24"/>
                <w:szCs w:val="24"/>
              </w:rPr>
            </w:pPr>
          </w:p>
        </w:tc>
        <w:tc>
          <w:tcPr>
            <w:tcW w:w="4468" w:type="dxa"/>
          </w:tcPr>
          <w:p w14:paraId="5BD9B0B4" w14:textId="77777777" w:rsidR="001B68A3" w:rsidRPr="001B68A3" w:rsidRDefault="001B68A3" w:rsidP="001B68A3">
            <w:pPr>
              <w:tabs>
                <w:tab w:val="left" w:pos="1080"/>
              </w:tabs>
              <w:rPr>
                <w:rFonts w:ascii="Arial" w:hAnsi="Arial" w:cs="Arial"/>
                <w:sz w:val="24"/>
                <w:szCs w:val="24"/>
              </w:rPr>
            </w:pPr>
            <w:r w:rsidRPr="001B68A3">
              <w:rPr>
                <w:rFonts w:ascii="Arial" w:hAnsi="Arial" w:cs="Arial"/>
                <w:sz w:val="24"/>
                <w:szCs w:val="24"/>
              </w:rPr>
              <w:t>FOISA provides a right of access to information but not a right of access to copies of specific documents.</w:t>
            </w:r>
          </w:p>
          <w:p w14:paraId="495CD86F" w14:textId="77777777" w:rsidR="001B68A3" w:rsidRPr="001B68A3" w:rsidRDefault="001B68A3" w:rsidP="001B68A3">
            <w:pPr>
              <w:tabs>
                <w:tab w:val="left" w:pos="1080"/>
              </w:tabs>
              <w:rPr>
                <w:rFonts w:ascii="Arial" w:hAnsi="Arial" w:cs="Arial"/>
                <w:sz w:val="24"/>
                <w:szCs w:val="24"/>
              </w:rPr>
            </w:pPr>
          </w:p>
          <w:p w14:paraId="09E7FB83" w14:textId="77777777" w:rsidR="001B68A3" w:rsidRPr="001B68A3" w:rsidRDefault="001B68A3" w:rsidP="001B68A3">
            <w:pPr>
              <w:tabs>
                <w:tab w:val="left" w:pos="1080"/>
              </w:tabs>
              <w:rPr>
                <w:rFonts w:ascii="Arial" w:hAnsi="Arial" w:cs="Arial"/>
                <w:sz w:val="24"/>
                <w:szCs w:val="24"/>
              </w:rPr>
            </w:pPr>
            <w:r w:rsidRPr="001B68A3">
              <w:rPr>
                <w:rFonts w:ascii="Arial" w:hAnsi="Arial" w:cs="Arial"/>
                <w:sz w:val="24"/>
                <w:szCs w:val="24"/>
              </w:rPr>
              <w:t>Disclosure of information in response to a valid request made under FOISA is in effect a disclosure into the public domain.</w:t>
            </w:r>
          </w:p>
          <w:p w14:paraId="23A87442" w14:textId="77777777" w:rsidR="001B68A3" w:rsidRPr="001B68A3" w:rsidRDefault="001B68A3" w:rsidP="001B68A3">
            <w:pPr>
              <w:tabs>
                <w:tab w:val="left" w:pos="1080"/>
              </w:tabs>
              <w:rPr>
                <w:rFonts w:ascii="Arial" w:hAnsi="Arial" w:cs="Arial"/>
                <w:sz w:val="24"/>
                <w:szCs w:val="24"/>
              </w:rPr>
            </w:pPr>
          </w:p>
          <w:p w14:paraId="1080CD23" w14:textId="77777777" w:rsidR="001B68A3" w:rsidRPr="001B68A3" w:rsidRDefault="001B68A3" w:rsidP="001B68A3">
            <w:pPr>
              <w:tabs>
                <w:tab w:val="left" w:pos="1080"/>
              </w:tabs>
              <w:rPr>
                <w:rFonts w:ascii="Arial" w:hAnsi="Arial" w:cs="Arial"/>
                <w:sz w:val="24"/>
                <w:szCs w:val="24"/>
              </w:rPr>
            </w:pPr>
            <w:r w:rsidRPr="001B68A3">
              <w:rPr>
                <w:rFonts w:ascii="Arial" w:hAnsi="Arial" w:cs="Arial"/>
                <w:sz w:val="24"/>
                <w:szCs w:val="24"/>
              </w:rPr>
              <w:t>NHS Fife has a duty under FOISA Section 15 to provide advice and assistance to applicants, so far as it is reasonable to expect it to do so.</w:t>
            </w:r>
          </w:p>
          <w:p w14:paraId="384A844B" w14:textId="77777777" w:rsidR="001B68A3" w:rsidRPr="001B68A3" w:rsidRDefault="001B68A3" w:rsidP="001B68A3">
            <w:pPr>
              <w:tabs>
                <w:tab w:val="left" w:pos="1080"/>
              </w:tabs>
              <w:rPr>
                <w:rFonts w:ascii="Arial" w:hAnsi="Arial" w:cs="Arial"/>
                <w:sz w:val="24"/>
                <w:szCs w:val="24"/>
              </w:rPr>
            </w:pPr>
          </w:p>
          <w:p w14:paraId="1DC1FD27" w14:textId="77777777" w:rsidR="001B68A3" w:rsidRPr="001B68A3" w:rsidRDefault="001B68A3" w:rsidP="001B68A3">
            <w:pPr>
              <w:rPr>
                <w:rFonts w:ascii="Arial" w:hAnsi="Arial" w:cs="Arial"/>
                <w:sz w:val="24"/>
                <w:szCs w:val="24"/>
              </w:rPr>
            </w:pPr>
            <w:r w:rsidRPr="001B68A3">
              <w:rPr>
                <w:rFonts w:ascii="Arial" w:hAnsi="Arial" w:cs="Arial"/>
                <w:sz w:val="24"/>
                <w:szCs w:val="24"/>
              </w:rPr>
              <w:t xml:space="preserve">However, as a significant amount of the information held in adverse event report forms and LAER/SAER Reports is of a sensitive and personal nature, exemptions may apply in relation to withholding information.  Advice and support should be sought from colleagues in the Information </w:t>
            </w:r>
          </w:p>
          <w:p w14:paraId="361974B8" w14:textId="77777777" w:rsidR="001B68A3" w:rsidRPr="001B68A3" w:rsidRDefault="001B68A3" w:rsidP="001B68A3">
            <w:pPr>
              <w:rPr>
                <w:rFonts w:ascii="Arial" w:hAnsi="Arial" w:cs="Arial"/>
                <w:sz w:val="24"/>
                <w:szCs w:val="24"/>
              </w:rPr>
            </w:pPr>
            <w:r w:rsidRPr="001B68A3">
              <w:rPr>
                <w:rFonts w:ascii="Arial" w:hAnsi="Arial" w:cs="Arial"/>
                <w:sz w:val="24"/>
                <w:szCs w:val="24"/>
              </w:rPr>
              <w:t>Governance Team.</w:t>
            </w:r>
          </w:p>
        </w:tc>
        <w:tc>
          <w:tcPr>
            <w:tcW w:w="2336" w:type="dxa"/>
          </w:tcPr>
          <w:p w14:paraId="099F8F7D" w14:textId="77777777" w:rsidR="001B68A3" w:rsidRPr="001B68A3" w:rsidRDefault="001B68A3" w:rsidP="001B68A3">
            <w:pPr>
              <w:rPr>
                <w:rFonts w:ascii="Arial" w:hAnsi="Arial" w:cs="Arial"/>
                <w:sz w:val="24"/>
              </w:rPr>
            </w:pPr>
            <w:r w:rsidRPr="001B68A3">
              <w:rPr>
                <w:rFonts w:ascii="Arial" w:hAnsi="Arial" w:cs="Arial"/>
                <w:sz w:val="24"/>
              </w:rPr>
              <w:t xml:space="preserve">Freedom of Information – Getting it Right First Time guidance – </w:t>
            </w:r>
          </w:p>
          <w:p w14:paraId="49505D51" w14:textId="77777777" w:rsidR="001B68A3" w:rsidRPr="001B68A3" w:rsidRDefault="001B68A3" w:rsidP="001B68A3">
            <w:pPr>
              <w:rPr>
                <w:rFonts w:ascii="Arial" w:hAnsi="Arial" w:cs="Arial"/>
                <w:sz w:val="24"/>
              </w:rPr>
            </w:pPr>
            <w:r w:rsidRPr="001B68A3">
              <w:rPr>
                <w:rFonts w:ascii="Arial" w:hAnsi="Arial" w:cs="Arial"/>
                <w:sz w:val="24"/>
              </w:rPr>
              <w:t xml:space="preserve">click </w:t>
            </w:r>
            <w:hyperlink r:id="rId15" w:history="1">
              <w:r w:rsidRPr="001B68A3">
                <w:rPr>
                  <w:rFonts w:ascii="Arial" w:hAnsi="Arial" w:cs="Arial"/>
                  <w:color w:val="0000FF"/>
                  <w:sz w:val="24"/>
                  <w:u w:val="single"/>
                </w:rPr>
                <w:t>here</w:t>
              </w:r>
            </w:hyperlink>
          </w:p>
          <w:p w14:paraId="2B18BB07" w14:textId="77777777" w:rsidR="001B68A3" w:rsidRPr="001B68A3" w:rsidRDefault="001B68A3" w:rsidP="001B68A3">
            <w:pPr>
              <w:rPr>
                <w:rFonts w:ascii="Arial" w:hAnsi="Arial" w:cs="Arial"/>
                <w:sz w:val="24"/>
              </w:rPr>
            </w:pPr>
          </w:p>
          <w:p w14:paraId="6ECBC3C5" w14:textId="77777777" w:rsidR="001B68A3" w:rsidRPr="001B68A3" w:rsidRDefault="001B68A3" w:rsidP="001B68A3">
            <w:pPr>
              <w:rPr>
                <w:rFonts w:ascii="Arial" w:hAnsi="Arial" w:cs="Arial"/>
                <w:sz w:val="24"/>
              </w:rPr>
            </w:pPr>
            <w:r w:rsidRPr="001B68A3">
              <w:rPr>
                <w:rFonts w:ascii="Arial" w:hAnsi="Arial" w:cs="Arial"/>
                <w:sz w:val="24"/>
              </w:rPr>
              <w:t xml:space="preserve">Further information on Briefings and Guidance – click </w:t>
            </w:r>
            <w:hyperlink r:id="rId16" w:history="1">
              <w:r w:rsidRPr="001B68A3">
                <w:rPr>
                  <w:rFonts w:ascii="Arial" w:hAnsi="Arial" w:cs="Arial"/>
                  <w:color w:val="0000FF"/>
                  <w:sz w:val="24"/>
                  <w:u w:val="single"/>
                </w:rPr>
                <w:t>here</w:t>
              </w:r>
            </w:hyperlink>
          </w:p>
        </w:tc>
      </w:tr>
      <w:bookmarkEnd w:id="3"/>
    </w:tbl>
    <w:p w14:paraId="33E33C97" w14:textId="77777777" w:rsidR="001B68A3" w:rsidRPr="001B68A3" w:rsidRDefault="001B68A3" w:rsidP="001B68A3">
      <w:pPr>
        <w:spacing w:after="0" w:line="240" w:lineRule="auto"/>
        <w:rPr>
          <w:rFonts w:ascii="Times New Roman" w:eastAsia="Times New Roman" w:hAnsi="Times New Roman" w:cs="Times New Roman"/>
          <w:sz w:val="24"/>
          <w:szCs w:val="20"/>
          <w:lang w:eastAsia="en-GB"/>
        </w:rPr>
      </w:pPr>
    </w:p>
    <w:p w14:paraId="2F9836BC" w14:textId="77777777" w:rsidR="001B68A3" w:rsidRPr="001B68A3" w:rsidRDefault="001B68A3" w:rsidP="001B68A3">
      <w:pPr>
        <w:spacing w:after="0" w:line="240" w:lineRule="auto"/>
        <w:rPr>
          <w:rFonts w:ascii="Times New Roman" w:eastAsia="Times New Roman" w:hAnsi="Times New Roman" w:cs="Times New Roman"/>
          <w:sz w:val="24"/>
          <w:szCs w:val="20"/>
          <w:lang w:eastAsia="en-GB"/>
        </w:rPr>
      </w:pPr>
    </w:p>
    <w:p w14:paraId="7D78A7E1" w14:textId="77777777" w:rsidR="001B68A3" w:rsidRPr="001B68A3" w:rsidRDefault="001B68A3" w:rsidP="001B68A3">
      <w:pPr>
        <w:spacing w:after="0" w:line="240" w:lineRule="auto"/>
        <w:rPr>
          <w:rFonts w:ascii="Times New Roman" w:eastAsia="Times New Roman" w:hAnsi="Times New Roman" w:cs="Times New Roman"/>
          <w:sz w:val="24"/>
          <w:szCs w:val="20"/>
          <w:lang w:eastAsia="en-GB"/>
        </w:rPr>
      </w:pPr>
    </w:p>
    <w:p w14:paraId="156FD0C8" w14:textId="77777777" w:rsidR="00B70FD3" w:rsidRDefault="00B70FD3"/>
    <w:sectPr w:rsidR="00B70F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0047"/>
    <w:multiLevelType w:val="multilevel"/>
    <w:tmpl w:val="8C9A8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D72F68"/>
    <w:multiLevelType w:val="hybridMultilevel"/>
    <w:tmpl w:val="F43099B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416094616">
    <w:abstractNumId w:val="1"/>
  </w:num>
  <w:num w:numId="2" w16cid:durableId="461652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B68A3"/>
    <w:rsid w:val="00040C0A"/>
    <w:rsid w:val="001349D2"/>
    <w:rsid w:val="001B68A3"/>
    <w:rsid w:val="00233DAC"/>
    <w:rsid w:val="002F5C3D"/>
    <w:rsid w:val="00326249"/>
    <w:rsid w:val="005876D8"/>
    <w:rsid w:val="0062642C"/>
    <w:rsid w:val="007927A1"/>
    <w:rsid w:val="00A34EA1"/>
    <w:rsid w:val="00B02ED3"/>
    <w:rsid w:val="00B70FD3"/>
    <w:rsid w:val="00BB7D69"/>
    <w:rsid w:val="00CD3553"/>
    <w:rsid w:val="00CF6D5E"/>
    <w:rsid w:val="00E00D79"/>
    <w:rsid w:val="00E013E2"/>
    <w:rsid w:val="00E048F4"/>
    <w:rsid w:val="00E92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8C95"/>
  <w15:chartTrackingRefBased/>
  <w15:docId w15:val="{C8572EC7-E61D-4A5D-999A-10CE47C8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8A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13" Type="http://schemas.openxmlformats.org/officeDocument/2006/relationships/hyperlink" Target="https://www.mwcscot.org.uk/good-practice/notifying-the-commiss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Microsoft_Word_97_-_2003_Document.doc"/><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spublicknowledge.info/Law/FOISA-EIRsGuidance/Briefings.aspx" TargetMode="External"/><Relationship Id="rId1" Type="http://schemas.openxmlformats.org/officeDocument/2006/relationships/numbering" Target="numbering.xml"/><Relationship Id="rId6" Type="http://schemas.openxmlformats.org/officeDocument/2006/relationships/hyperlink" Target="https://www.lawscot.org.uk/media/361194/medical-mandate-form-october-2018.pdf" TargetMode="External"/><Relationship Id="rId11" Type="http://schemas.openxmlformats.org/officeDocument/2006/relationships/image" Target="media/image3.emf"/><Relationship Id="rId5" Type="http://schemas.openxmlformats.org/officeDocument/2006/relationships/hyperlink" Target="http://www.knowledge.scot.nhs.uk/media/CLT/ResourceUploads/4058632/20150112%20Data%20Redaction%20and%20Standardised%20Reports.pdf" TargetMode="External"/><Relationship Id="rId15" Type="http://schemas.openxmlformats.org/officeDocument/2006/relationships/hyperlink" Target="http://www.itspublicknowledge.info/nmsruntime/saveasdialog.aspx?lID=10441&amp;sID=105" TargetMode="External"/><Relationship Id="rId10" Type="http://schemas.openxmlformats.org/officeDocument/2006/relationships/package" Target="embeddings/Microsoft_Word_Document1.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www.crownoffice.gov.uk/images/Documents/Deaths/Reporting%20Deaths%20to%20the%20Procurator%20Fiscal%20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Thomson (NHS Fife)</dc:creator>
  <cp:keywords/>
  <dc:description/>
  <cp:lastModifiedBy>Hazel Thomson (NHS Fife)</cp:lastModifiedBy>
  <cp:revision>1</cp:revision>
  <dcterms:created xsi:type="dcterms:W3CDTF">2023-05-19T09:21:00Z</dcterms:created>
  <dcterms:modified xsi:type="dcterms:W3CDTF">2023-05-19T09:21:00Z</dcterms:modified>
</cp:coreProperties>
</file>